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51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Силивончик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Павловича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1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Style w:val="cat-UserDefinedgrp-33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4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6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 месяцев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п.1 ст. 23,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, в судебное заседание не явился, о причинах неявки не уведомил, ходатайств об отложении рассмотрения дела не заявлял. Мировой судья на основании ч.2 ст. 25.1 КоАП РФ считает возможным рассмотреть дело в его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Силивончик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309</w:t>
      </w:r>
      <w:r>
        <w:rPr>
          <w:rFonts w:ascii="Times New Roman" w:eastAsia="Times New Roman" w:hAnsi="Times New Roman" w:cs="Times New Roman"/>
          <w:sz w:val="27"/>
          <w:szCs w:val="27"/>
        </w:rPr>
        <w:t>91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Силивончик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Его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28.12.2022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Силивончик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Силивончик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Павловича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>, КБК: 72011601153010005140. УИН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0412365400585008512415106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6649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76C-8E47-446A-B6A2-F3C5E3B207F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